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778" w:type="dxa"/>
        <w:tblLayout w:type="fixed"/>
        <w:tblLook w:val="0000"/>
      </w:tblPr>
      <w:tblGrid>
        <w:gridCol w:w="236"/>
        <w:gridCol w:w="8085"/>
      </w:tblGrid>
      <w:tr w:rsidR="003D6AF5" w:rsidRPr="008C3F6E" w:rsidTr="00D77934">
        <w:trPr>
          <w:jc w:val="center"/>
        </w:trPr>
        <w:tc>
          <w:tcPr>
            <w:tcW w:w="236" w:type="dxa"/>
          </w:tcPr>
          <w:p w:rsidR="003D6AF5" w:rsidRPr="008C3F6E" w:rsidRDefault="003D6AF5" w:rsidP="00D77934">
            <w:pPr>
              <w:jc w:val="center"/>
              <w:rPr>
                <w:rFonts w:ascii="Tahoma" w:hAnsi="Tahoma" w:cs="Tahoma"/>
                <w:b/>
              </w:rPr>
            </w:pPr>
          </w:p>
          <w:p w:rsidR="003D6AF5" w:rsidRPr="008C3F6E" w:rsidRDefault="003D6AF5" w:rsidP="00D77934">
            <w:pPr>
              <w:jc w:val="center"/>
              <w:rPr>
                <w:rFonts w:ascii="Tahoma" w:hAnsi="Tahoma" w:cs="Tahoma"/>
                <w:b/>
              </w:rPr>
            </w:pPr>
          </w:p>
        </w:tc>
        <w:tc>
          <w:tcPr>
            <w:tcW w:w="8085" w:type="dxa"/>
          </w:tcPr>
          <w:p w:rsidR="003D6AF5" w:rsidRPr="008C3F6E" w:rsidRDefault="00260730" w:rsidP="00D77934">
            <w:pPr>
              <w:jc w:val="center"/>
              <w:rPr>
                <w:rFonts w:ascii="Tahoma" w:hAnsi="Tahoma" w:cs="Tahoma"/>
                <w:b/>
              </w:rPr>
            </w:pPr>
            <w:r>
              <w:rPr>
                <w:rFonts w:ascii="Tahoma" w:hAnsi="Tahoma" w:cs="Tahoma"/>
                <w:b/>
                <w:noProof/>
              </w:rPr>
              <w:drawing>
                <wp:anchor distT="0" distB="0" distL="114300" distR="114300" simplePos="0" relativeHeight="251659264" behindDoc="0" locked="0" layoutInCell="1" allowOverlap="1">
                  <wp:simplePos x="0" y="0"/>
                  <wp:positionH relativeFrom="column">
                    <wp:posOffset>702945</wp:posOffset>
                  </wp:positionH>
                  <wp:positionV relativeFrom="paragraph">
                    <wp:posOffset>71755</wp:posOffset>
                  </wp:positionV>
                  <wp:extent cx="3686175" cy="762000"/>
                  <wp:effectExtent l="19050" t="0" r="9525" b="0"/>
                  <wp:wrapNone/>
                  <wp:docPr id="1" name="Εικόνα 2" descr="a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se1"/>
                          <pic:cNvPicPr>
                            <a:picLocks noChangeAspect="1" noChangeArrowheads="1"/>
                          </pic:cNvPicPr>
                        </pic:nvPicPr>
                        <pic:blipFill>
                          <a:blip r:embed="rId7"/>
                          <a:srcRect/>
                          <a:stretch>
                            <a:fillRect/>
                          </a:stretch>
                        </pic:blipFill>
                        <pic:spPr bwMode="auto">
                          <a:xfrm>
                            <a:off x="0" y="0"/>
                            <a:ext cx="3686175" cy="762000"/>
                          </a:xfrm>
                          <a:prstGeom prst="rect">
                            <a:avLst/>
                          </a:prstGeom>
                          <a:noFill/>
                          <a:ln w="9525">
                            <a:noFill/>
                            <a:miter lim="800000"/>
                            <a:headEnd/>
                            <a:tailEnd/>
                          </a:ln>
                        </pic:spPr>
                      </pic:pic>
                    </a:graphicData>
                  </a:graphic>
                </wp:anchor>
              </w:drawing>
            </w:r>
          </w:p>
        </w:tc>
      </w:tr>
    </w:tbl>
    <w:p w:rsidR="0010248D" w:rsidRDefault="0010248D" w:rsidP="008C3F6E">
      <w:pPr>
        <w:pBdr>
          <w:bottom w:val="single" w:sz="12" w:space="1" w:color="auto"/>
        </w:pBdr>
        <w:jc w:val="center"/>
        <w:rPr>
          <w:rFonts w:ascii="Tahoma" w:hAnsi="Tahoma" w:cs="Tahoma"/>
          <w:b/>
          <w:sz w:val="28"/>
          <w:szCs w:val="28"/>
        </w:rPr>
      </w:pPr>
    </w:p>
    <w:p w:rsidR="0010248D" w:rsidRDefault="0010248D" w:rsidP="008C3F6E">
      <w:pPr>
        <w:pBdr>
          <w:bottom w:val="single" w:sz="12" w:space="1" w:color="auto"/>
        </w:pBdr>
        <w:jc w:val="center"/>
        <w:rPr>
          <w:rFonts w:ascii="Tahoma" w:hAnsi="Tahoma" w:cs="Tahoma"/>
          <w:b/>
          <w:sz w:val="28"/>
          <w:szCs w:val="28"/>
        </w:rPr>
      </w:pPr>
    </w:p>
    <w:p w:rsidR="0010248D" w:rsidRDefault="0010248D" w:rsidP="008C3F6E">
      <w:pPr>
        <w:pBdr>
          <w:bottom w:val="single" w:sz="12" w:space="1" w:color="auto"/>
        </w:pBdr>
        <w:jc w:val="center"/>
        <w:rPr>
          <w:rFonts w:ascii="Tahoma" w:hAnsi="Tahoma" w:cs="Tahoma"/>
          <w:b/>
          <w:sz w:val="28"/>
          <w:szCs w:val="28"/>
        </w:rPr>
      </w:pPr>
    </w:p>
    <w:p w:rsidR="00A71ED9" w:rsidRPr="00260730" w:rsidRDefault="008C3F6E" w:rsidP="008C3F6E">
      <w:pPr>
        <w:pBdr>
          <w:bottom w:val="single" w:sz="12" w:space="1" w:color="auto"/>
        </w:pBdr>
        <w:jc w:val="center"/>
        <w:rPr>
          <w:rFonts w:ascii="Tahoma" w:hAnsi="Tahoma" w:cs="Tahoma"/>
          <w:b/>
        </w:rPr>
      </w:pPr>
      <w:r w:rsidRPr="00260730">
        <w:rPr>
          <w:rFonts w:ascii="Tahoma" w:hAnsi="Tahoma" w:cs="Tahoma"/>
          <w:b/>
        </w:rPr>
        <w:t>ΣΧΕ</w:t>
      </w:r>
      <w:r w:rsidR="00394B1E" w:rsidRPr="00260730">
        <w:rPr>
          <w:rFonts w:ascii="Tahoma" w:hAnsi="Tahoma" w:cs="Tahoma"/>
          <w:b/>
        </w:rPr>
        <w:t xml:space="preserve">ΤΙΚΑ </w:t>
      </w:r>
      <w:r w:rsidR="00260730" w:rsidRPr="00260730">
        <w:rPr>
          <w:rFonts w:ascii="Tahoma" w:hAnsi="Tahoma" w:cs="Tahoma"/>
          <w:b/>
        </w:rPr>
        <w:t>ΤΟ ΠΡΩΤΟ Δ.Σ ΤΗΣ ΕΛΜΕ ΘΕΣΠΡΩΤΙΑΣ (13/09)</w:t>
      </w:r>
    </w:p>
    <w:p w:rsidR="00260730" w:rsidRDefault="00260730" w:rsidP="00352D8F">
      <w:pPr>
        <w:jc w:val="both"/>
        <w:rPr>
          <w:rFonts w:ascii="Verdana" w:hAnsi="Verdana"/>
          <w:color w:val="000000"/>
          <w:sz w:val="21"/>
          <w:szCs w:val="21"/>
        </w:rPr>
      </w:pPr>
    </w:p>
    <w:p w:rsidR="00352D8F" w:rsidRPr="00777586" w:rsidRDefault="00352D8F" w:rsidP="00352D8F">
      <w:pPr>
        <w:jc w:val="both"/>
        <w:rPr>
          <w:rFonts w:ascii="Verdana" w:hAnsi="Verdana"/>
          <w:sz w:val="22"/>
          <w:szCs w:val="22"/>
          <w:shd w:val="clear" w:color="auto" w:fill="FFFFFF"/>
        </w:rPr>
      </w:pPr>
      <w:r w:rsidRPr="00777586">
        <w:rPr>
          <w:rFonts w:ascii="Verdana" w:hAnsi="Verdana"/>
          <w:sz w:val="22"/>
          <w:szCs w:val="22"/>
          <w:shd w:val="clear" w:color="auto" w:fill="FFFFFF"/>
        </w:rPr>
        <w:t xml:space="preserve">Σας ενημερώνουμε </w:t>
      </w:r>
      <w:r w:rsidR="00777586">
        <w:rPr>
          <w:rFonts w:ascii="Verdana" w:hAnsi="Verdana"/>
          <w:sz w:val="22"/>
          <w:szCs w:val="22"/>
          <w:shd w:val="clear" w:color="auto" w:fill="FFFFFF"/>
        </w:rPr>
        <w:t xml:space="preserve">ότι </w:t>
      </w:r>
      <w:r w:rsidR="00777586" w:rsidRPr="00260730">
        <w:rPr>
          <w:rFonts w:ascii="Verdana" w:hAnsi="Verdana"/>
          <w:b/>
          <w:sz w:val="22"/>
          <w:szCs w:val="22"/>
          <w:shd w:val="clear" w:color="auto" w:fill="FFFFFF"/>
        </w:rPr>
        <w:t>στηρίζουμε την κινητοποίηση της ΕΛΜΕ Θεσπρωτίας την Τετάρτη 12/</w:t>
      </w:r>
      <w:r w:rsidR="00260730" w:rsidRPr="00260730">
        <w:rPr>
          <w:rFonts w:ascii="Verdana" w:hAnsi="Verdana"/>
          <w:b/>
          <w:sz w:val="22"/>
          <w:szCs w:val="22"/>
          <w:shd w:val="clear" w:color="auto" w:fill="FFFFFF"/>
        </w:rPr>
        <w:t>0</w:t>
      </w:r>
      <w:r w:rsidR="00777586" w:rsidRPr="00260730">
        <w:rPr>
          <w:rFonts w:ascii="Verdana" w:hAnsi="Verdana"/>
          <w:b/>
          <w:sz w:val="22"/>
          <w:szCs w:val="22"/>
          <w:shd w:val="clear" w:color="auto" w:fill="FFFFFF"/>
        </w:rPr>
        <w:t xml:space="preserve">9 στις 13:00 στην ΔΔΕ (Ηγουμενίτσα) με αιχμή την </w:t>
      </w:r>
      <w:r w:rsidR="00260730" w:rsidRPr="00260730">
        <w:rPr>
          <w:rFonts w:ascii="Verdana" w:hAnsi="Verdana"/>
          <w:b/>
          <w:sz w:val="22"/>
          <w:szCs w:val="22"/>
          <w:shd w:val="clear" w:color="auto" w:fill="FFFFFF"/>
        </w:rPr>
        <w:t>έγκριση</w:t>
      </w:r>
      <w:r w:rsidR="00777586" w:rsidRPr="00260730">
        <w:rPr>
          <w:rFonts w:ascii="Verdana" w:hAnsi="Verdana"/>
          <w:b/>
          <w:sz w:val="22"/>
          <w:szCs w:val="22"/>
          <w:shd w:val="clear" w:color="auto" w:fill="FFFFFF"/>
        </w:rPr>
        <w:t xml:space="preserve"> των λεγόμενων ολιγομελών τμημάτων στο ΕΠΑΛ Φιλιατών</w:t>
      </w:r>
      <w:r w:rsidR="00260730" w:rsidRPr="00260730">
        <w:rPr>
          <w:rFonts w:ascii="Verdana" w:hAnsi="Verdana"/>
          <w:b/>
          <w:sz w:val="22"/>
          <w:szCs w:val="22"/>
          <w:shd w:val="clear" w:color="auto" w:fill="FFFFFF"/>
        </w:rPr>
        <w:t xml:space="preserve"> και καλούμε σε μαγική συμμετοχή τους συναδέλφους</w:t>
      </w:r>
      <w:r w:rsidR="00777586">
        <w:rPr>
          <w:rFonts w:ascii="Verdana" w:hAnsi="Verdana"/>
          <w:sz w:val="22"/>
          <w:szCs w:val="22"/>
          <w:shd w:val="clear" w:color="auto" w:fill="FFFFFF"/>
        </w:rPr>
        <w:t xml:space="preserve">. Επίσης </w:t>
      </w:r>
      <w:r w:rsidR="00260730">
        <w:rPr>
          <w:rFonts w:ascii="Verdana" w:hAnsi="Verdana"/>
          <w:sz w:val="22"/>
          <w:szCs w:val="22"/>
          <w:shd w:val="clear" w:color="auto" w:fill="FFFFFF"/>
        </w:rPr>
        <w:t xml:space="preserve">σας ενημερώνουμε </w:t>
      </w:r>
      <w:r w:rsidRPr="00777586">
        <w:rPr>
          <w:rFonts w:ascii="Verdana" w:hAnsi="Verdana"/>
          <w:sz w:val="22"/>
          <w:szCs w:val="22"/>
          <w:shd w:val="clear" w:color="auto" w:fill="FFFFFF"/>
        </w:rPr>
        <w:t>ότι στο πρώτο Διοικητικό Συμβούλιο</w:t>
      </w:r>
      <w:r w:rsidR="00D22D61" w:rsidRPr="00777586">
        <w:rPr>
          <w:rFonts w:ascii="Verdana" w:hAnsi="Verdana"/>
          <w:sz w:val="22"/>
          <w:szCs w:val="22"/>
          <w:shd w:val="clear" w:color="auto" w:fill="FFFFFF"/>
        </w:rPr>
        <w:t xml:space="preserve"> της ΕΛΜΕ </w:t>
      </w:r>
      <w:r w:rsidR="00260730">
        <w:rPr>
          <w:rFonts w:ascii="Verdana" w:hAnsi="Verdana"/>
          <w:sz w:val="22"/>
          <w:szCs w:val="22"/>
          <w:shd w:val="clear" w:color="auto" w:fill="FFFFFF"/>
        </w:rPr>
        <w:t>(Πέμπτη 13/09,</w:t>
      </w:r>
      <w:r w:rsidRPr="00777586">
        <w:rPr>
          <w:rFonts w:ascii="Verdana" w:hAnsi="Verdana"/>
          <w:sz w:val="22"/>
          <w:szCs w:val="22"/>
          <w:shd w:val="clear" w:color="auto" w:fill="FFFFFF"/>
        </w:rPr>
        <w:t xml:space="preserve"> </w:t>
      </w:r>
      <w:r w:rsidR="00D22D61" w:rsidRPr="00777586">
        <w:rPr>
          <w:rFonts w:ascii="Verdana" w:hAnsi="Verdana"/>
          <w:sz w:val="22"/>
          <w:szCs w:val="22"/>
          <w:shd w:val="clear" w:color="auto" w:fill="FFFFFF"/>
        </w:rPr>
        <w:t xml:space="preserve">13:00) </w:t>
      </w:r>
      <w:r w:rsidRPr="00260730">
        <w:rPr>
          <w:rFonts w:ascii="Verdana" w:hAnsi="Verdana"/>
          <w:b/>
          <w:sz w:val="22"/>
          <w:szCs w:val="22"/>
          <w:shd w:val="clear" w:color="auto" w:fill="FFFFFF"/>
        </w:rPr>
        <w:t>θα καταθέσουμε προς συζήτηση και ψήφιση τα παρακάτω θέματα</w:t>
      </w:r>
      <w:r w:rsidRPr="00777586">
        <w:rPr>
          <w:rFonts w:ascii="Verdana" w:hAnsi="Verdana"/>
          <w:sz w:val="22"/>
          <w:szCs w:val="22"/>
          <w:shd w:val="clear" w:color="auto" w:fill="FFFFFF"/>
        </w:rPr>
        <w:t>:</w:t>
      </w:r>
    </w:p>
    <w:p w:rsidR="00352D8F" w:rsidRPr="00777586" w:rsidRDefault="00352D8F" w:rsidP="00352D8F">
      <w:pPr>
        <w:jc w:val="both"/>
        <w:rPr>
          <w:rFonts w:ascii="Verdana" w:hAnsi="Verdana"/>
          <w:sz w:val="22"/>
          <w:szCs w:val="22"/>
          <w:shd w:val="clear" w:color="auto" w:fill="FFFFFF"/>
        </w:rPr>
      </w:pPr>
    </w:p>
    <w:p w:rsidR="00D22D61" w:rsidRPr="00777586" w:rsidRDefault="00D22D61" w:rsidP="00777586">
      <w:pPr>
        <w:jc w:val="center"/>
        <w:rPr>
          <w:rFonts w:ascii="Verdana" w:hAnsi="Verdana"/>
          <w:b/>
          <w:sz w:val="22"/>
          <w:szCs w:val="22"/>
          <w:shd w:val="clear" w:color="auto" w:fill="FFFFFF"/>
        </w:rPr>
      </w:pPr>
      <w:r w:rsidRPr="00260730">
        <w:rPr>
          <w:rFonts w:ascii="Verdana" w:hAnsi="Verdana"/>
          <w:b/>
          <w:sz w:val="22"/>
          <w:szCs w:val="22"/>
          <w:u w:val="single"/>
          <w:shd w:val="clear" w:color="auto" w:fill="FFFFFF"/>
        </w:rPr>
        <w:t>ΤΟΠΙΚΑ ΘΕΜΑΤΑ ΣΧΟΛΙΚΩΝ ΜΟΝΑΔΩΝ ΚΑΙ ΕΚΠΑΙΔΕΥΤΙΚΩΝ</w:t>
      </w:r>
      <w:r w:rsidRPr="00777586">
        <w:rPr>
          <w:rFonts w:ascii="Verdana" w:hAnsi="Verdana"/>
          <w:b/>
          <w:sz w:val="22"/>
          <w:szCs w:val="22"/>
          <w:shd w:val="clear" w:color="auto" w:fill="FFFFFF"/>
        </w:rPr>
        <w:t>:</w:t>
      </w:r>
    </w:p>
    <w:p w:rsidR="00D22D61" w:rsidRPr="00777586" w:rsidRDefault="00D22D61" w:rsidP="00D22D61">
      <w:pPr>
        <w:jc w:val="both"/>
        <w:rPr>
          <w:rFonts w:ascii="Verdana" w:hAnsi="Verdana"/>
          <w:sz w:val="22"/>
          <w:szCs w:val="22"/>
          <w:shd w:val="clear" w:color="auto" w:fill="FFFFFF"/>
        </w:rPr>
      </w:pPr>
    </w:p>
    <w:p w:rsidR="00352D8F" w:rsidRPr="00260730" w:rsidRDefault="00352D8F" w:rsidP="00260730">
      <w:pPr>
        <w:pStyle w:val="a6"/>
        <w:numPr>
          <w:ilvl w:val="0"/>
          <w:numId w:val="9"/>
        </w:numPr>
        <w:jc w:val="both"/>
        <w:rPr>
          <w:rFonts w:ascii="Verdana" w:hAnsi="Verdana"/>
          <w:shd w:val="clear" w:color="auto" w:fill="FFFFFF"/>
        </w:rPr>
      </w:pPr>
      <w:r w:rsidRPr="00260730">
        <w:rPr>
          <w:rFonts w:ascii="Verdana" w:hAnsi="Verdana"/>
          <w:b/>
          <w:shd w:val="clear" w:color="auto" w:fill="FFFFFF"/>
        </w:rPr>
        <w:t>Χωρισμός τμημάτων</w:t>
      </w:r>
      <w:r w:rsidRPr="00777586">
        <w:rPr>
          <w:rFonts w:ascii="Verdana" w:hAnsi="Verdana"/>
          <w:shd w:val="clear" w:color="auto" w:fill="FFFFFF"/>
        </w:rPr>
        <w:t xml:space="preserve"> γενικής παιδείας και κατευθύνσεων στα ΓΕΛ του νομού εκεί που παρουσιάζοντ</w:t>
      </w:r>
      <w:r w:rsidR="002B7AC8" w:rsidRPr="00777586">
        <w:rPr>
          <w:rFonts w:ascii="Verdana" w:hAnsi="Verdana"/>
          <w:shd w:val="clear" w:color="auto" w:fill="FFFFFF"/>
        </w:rPr>
        <w:t xml:space="preserve">αι υπερμεγέθη τμήματα </w:t>
      </w:r>
      <w:r w:rsidR="00D22D61" w:rsidRPr="00777586">
        <w:rPr>
          <w:rFonts w:ascii="Verdana" w:hAnsi="Verdana"/>
          <w:shd w:val="clear" w:color="auto" w:fill="FFFFFF"/>
        </w:rPr>
        <w:t>(π.χ Α’</w:t>
      </w:r>
      <w:r w:rsidR="002B7AC8" w:rsidRPr="00777586">
        <w:rPr>
          <w:rFonts w:ascii="Verdana" w:hAnsi="Verdana"/>
          <w:shd w:val="clear" w:color="auto" w:fill="FFFFFF"/>
        </w:rPr>
        <w:t xml:space="preserve"> ΓΕΛ Φιλιατών, Γ’ θεωρητική ΓΕΛ Παραμυθιάς)</w:t>
      </w:r>
      <w:r w:rsidR="00777586" w:rsidRPr="00777586">
        <w:rPr>
          <w:rFonts w:ascii="Verdana" w:hAnsi="Verdana"/>
          <w:shd w:val="clear" w:color="auto" w:fill="FFFFFF"/>
        </w:rPr>
        <w:t xml:space="preserve"> και επιστημονική στήριξη και βοήθεια σε περιφερειακά σχολεία που λόγω ειδικών συνθηκών το χρειάζονται (π.χ Γυμνάσιο Φιλιατών)</w:t>
      </w:r>
      <w:r w:rsidRPr="00777586">
        <w:rPr>
          <w:rFonts w:ascii="Verdana" w:hAnsi="Verdana"/>
          <w:shd w:val="clear" w:color="auto" w:fill="FFFFFF"/>
        </w:rPr>
        <w:t>.</w:t>
      </w:r>
    </w:p>
    <w:p w:rsidR="00777586" w:rsidRPr="00260730" w:rsidRDefault="00352D8F" w:rsidP="00260730">
      <w:pPr>
        <w:pStyle w:val="a6"/>
        <w:numPr>
          <w:ilvl w:val="0"/>
          <w:numId w:val="9"/>
        </w:numPr>
        <w:jc w:val="both"/>
        <w:rPr>
          <w:rFonts w:ascii="Verdana" w:hAnsi="Verdana"/>
          <w:shd w:val="clear" w:color="auto" w:fill="FFFFFF"/>
        </w:rPr>
      </w:pPr>
      <w:r w:rsidRPr="00777586">
        <w:rPr>
          <w:rFonts w:ascii="Verdana" w:hAnsi="Verdana"/>
          <w:shd w:val="clear" w:color="auto" w:fill="FFFFFF"/>
        </w:rPr>
        <w:t xml:space="preserve">Οργάνωση της δράσης για την </w:t>
      </w:r>
      <w:r w:rsidRPr="00260730">
        <w:rPr>
          <w:rFonts w:ascii="Verdana" w:hAnsi="Verdana"/>
          <w:b/>
          <w:shd w:val="clear" w:color="auto" w:fill="FFFFFF"/>
        </w:rPr>
        <w:t>προστασία των περιφερειακών ΕΠΑΛ και ΓΕΛ</w:t>
      </w:r>
      <w:r w:rsidRPr="00777586">
        <w:rPr>
          <w:rFonts w:ascii="Verdana" w:hAnsi="Verdana"/>
          <w:shd w:val="clear" w:color="auto" w:fill="FFFFFF"/>
        </w:rPr>
        <w:t xml:space="preserve"> που μετά τις ηλεκτρονικές εγγραφές αλλά και την υποβάθμιση των σχολε</w:t>
      </w:r>
      <w:r w:rsidR="00777586">
        <w:rPr>
          <w:rFonts w:ascii="Verdana" w:hAnsi="Verdana"/>
          <w:shd w:val="clear" w:color="auto" w:fill="FFFFFF"/>
        </w:rPr>
        <w:t>ίων από πλευράς μορίων κινδυνεύ</w:t>
      </w:r>
      <w:r w:rsidRPr="00777586">
        <w:rPr>
          <w:rFonts w:ascii="Verdana" w:hAnsi="Verdana"/>
          <w:shd w:val="clear" w:color="auto" w:fill="FFFFFF"/>
        </w:rPr>
        <w:t>ουν ανά πάσα στιγμή με συρρίκνωση, συγχώνευση ή κλείσιμο. Το παράδειγμα του ΕΠΑΛ Φιλιατών είναι χαρακτηριστικό</w:t>
      </w:r>
      <w:r w:rsidR="002B7AC8" w:rsidRPr="00777586">
        <w:rPr>
          <w:rFonts w:ascii="Verdana" w:hAnsi="Verdana"/>
          <w:shd w:val="clear" w:color="auto" w:fill="FFFFFF"/>
        </w:rPr>
        <w:t xml:space="preserve"> όπου ακόμη ούτε η Α</w:t>
      </w:r>
      <w:r w:rsidR="00777586" w:rsidRPr="00777586">
        <w:rPr>
          <w:rFonts w:ascii="Verdana" w:hAnsi="Verdana"/>
          <w:shd w:val="clear" w:color="auto" w:fill="FFFFFF"/>
        </w:rPr>
        <w:t>’ τάξη</w:t>
      </w:r>
      <w:r w:rsidR="002B7AC8" w:rsidRPr="00777586">
        <w:rPr>
          <w:rFonts w:ascii="Verdana" w:hAnsi="Verdana"/>
          <w:shd w:val="clear" w:color="auto" w:fill="FFFFFF"/>
        </w:rPr>
        <w:t xml:space="preserve"> δεν έχει εγκριθεί</w:t>
      </w:r>
      <w:r w:rsidRPr="00777586">
        <w:rPr>
          <w:rFonts w:ascii="Verdana" w:hAnsi="Verdana"/>
          <w:shd w:val="clear" w:color="auto" w:fill="FFFFFF"/>
        </w:rPr>
        <w:t>.</w:t>
      </w:r>
    </w:p>
    <w:p w:rsidR="00777586" w:rsidRPr="00777586" w:rsidRDefault="00777586" w:rsidP="00260730">
      <w:pPr>
        <w:pStyle w:val="a6"/>
        <w:numPr>
          <w:ilvl w:val="0"/>
          <w:numId w:val="9"/>
        </w:numPr>
        <w:jc w:val="both"/>
        <w:rPr>
          <w:rFonts w:ascii="Verdana" w:hAnsi="Verdana"/>
          <w:shd w:val="clear" w:color="auto" w:fill="FFFFFF"/>
        </w:rPr>
      </w:pPr>
      <w:r w:rsidRPr="00777586">
        <w:rPr>
          <w:rFonts w:ascii="Verdana" w:hAnsi="Verdana"/>
          <w:shd w:val="clear" w:color="auto" w:fill="FFFFFF"/>
        </w:rPr>
        <w:t xml:space="preserve">Άμεσες δράσεις για την </w:t>
      </w:r>
      <w:r w:rsidRPr="00260730">
        <w:rPr>
          <w:rFonts w:ascii="Verdana" w:hAnsi="Verdana"/>
          <w:b/>
          <w:shd w:val="clear" w:color="auto" w:fill="FFFFFF"/>
        </w:rPr>
        <w:t>αντιπλημμυρική, αντιπυρική</w:t>
      </w:r>
      <w:r w:rsidR="00260730">
        <w:rPr>
          <w:rFonts w:ascii="Verdana" w:hAnsi="Verdana"/>
          <w:b/>
          <w:shd w:val="clear" w:color="auto" w:fill="FFFFFF"/>
        </w:rPr>
        <w:t xml:space="preserve"> και</w:t>
      </w:r>
      <w:r w:rsidRPr="00260730">
        <w:rPr>
          <w:rFonts w:ascii="Verdana" w:hAnsi="Verdana"/>
          <w:b/>
          <w:shd w:val="clear" w:color="auto" w:fill="FFFFFF"/>
        </w:rPr>
        <w:t xml:space="preserve"> αντισεισμική </w:t>
      </w:r>
      <w:r w:rsidRPr="00777586">
        <w:rPr>
          <w:rFonts w:ascii="Verdana" w:hAnsi="Verdana"/>
          <w:shd w:val="clear" w:color="auto" w:fill="FFFFFF"/>
        </w:rPr>
        <w:t>μαθητών και εκπαιδευτικών. Καταγραφή των αναγκών και ενδεχόμενων κινδύνων και δράση για την λύση τους μέσω των αρμόδιων δημοσίων φορέων.</w:t>
      </w:r>
    </w:p>
    <w:p w:rsidR="00352D8F" w:rsidRPr="00777586" w:rsidRDefault="00352D8F" w:rsidP="00777586">
      <w:pPr>
        <w:ind w:left="360"/>
        <w:jc w:val="both"/>
        <w:rPr>
          <w:rFonts w:ascii="Verdana" w:hAnsi="Verdana"/>
          <w:sz w:val="22"/>
          <w:szCs w:val="22"/>
          <w:shd w:val="clear" w:color="auto" w:fill="FFFFFF"/>
        </w:rPr>
      </w:pPr>
    </w:p>
    <w:p w:rsidR="00777586" w:rsidRPr="00777586" w:rsidRDefault="00777586" w:rsidP="00777586">
      <w:pPr>
        <w:ind w:left="360"/>
        <w:jc w:val="center"/>
        <w:rPr>
          <w:rFonts w:ascii="Verdana" w:hAnsi="Verdana"/>
          <w:b/>
          <w:sz w:val="22"/>
          <w:szCs w:val="22"/>
          <w:shd w:val="clear" w:color="auto" w:fill="FFFFFF"/>
        </w:rPr>
      </w:pPr>
      <w:r w:rsidRPr="00260730">
        <w:rPr>
          <w:rFonts w:ascii="Verdana" w:hAnsi="Verdana"/>
          <w:b/>
          <w:sz w:val="22"/>
          <w:szCs w:val="22"/>
          <w:u w:val="single"/>
          <w:shd w:val="clear" w:color="auto" w:fill="FFFFFF"/>
        </w:rPr>
        <w:t>ΕΥΡΥΤΕΡΑ ΘΕΜΑΤΑ (ΑΞΙΟΛΟΓΗΣΗ, ΑΝΑΠΛΗΡΩΤΕΣ, ΑΛΛΕΣ ΔΡΑΣΕΙΣ)</w:t>
      </w:r>
      <w:r w:rsidR="00260730">
        <w:rPr>
          <w:rFonts w:ascii="Verdana" w:hAnsi="Verdana"/>
          <w:b/>
          <w:sz w:val="22"/>
          <w:szCs w:val="22"/>
          <w:shd w:val="clear" w:color="auto" w:fill="FFFFFF"/>
        </w:rPr>
        <w:t>:</w:t>
      </w:r>
    </w:p>
    <w:p w:rsidR="00352D8F" w:rsidRPr="00777586" w:rsidRDefault="00352D8F" w:rsidP="00352D8F">
      <w:pPr>
        <w:pStyle w:val="a6"/>
        <w:rPr>
          <w:rFonts w:ascii="Verdana" w:hAnsi="Verdana"/>
          <w:shd w:val="clear" w:color="auto" w:fill="FFFFFF"/>
        </w:rPr>
      </w:pPr>
    </w:p>
    <w:p w:rsidR="00D22D61" w:rsidRPr="00260730" w:rsidRDefault="00777586" w:rsidP="00260730">
      <w:pPr>
        <w:pStyle w:val="a6"/>
        <w:numPr>
          <w:ilvl w:val="0"/>
          <w:numId w:val="10"/>
        </w:numPr>
        <w:jc w:val="both"/>
        <w:rPr>
          <w:rFonts w:ascii="Verdana" w:hAnsi="Verdana"/>
          <w:shd w:val="clear" w:color="auto" w:fill="FFFFFF"/>
        </w:rPr>
      </w:pPr>
      <w:r>
        <w:rPr>
          <w:rFonts w:ascii="Verdana" w:hAnsi="Verdana"/>
          <w:shd w:val="clear" w:color="auto" w:fill="FFFFFF"/>
        </w:rPr>
        <w:t>Σ</w:t>
      </w:r>
      <w:r w:rsidR="00352D8F" w:rsidRPr="00777586">
        <w:rPr>
          <w:rFonts w:ascii="Verdana" w:hAnsi="Verdana"/>
          <w:shd w:val="clear" w:color="auto" w:fill="FFFFFF"/>
        </w:rPr>
        <w:t xml:space="preserve">χεδιασμός δράσης </w:t>
      </w:r>
      <w:r w:rsidR="00352D8F" w:rsidRPr="00260730">
        <w:rPr>
          <w:rFonts w:ascii="Verdana" w:hAnsi="Verdana"/>
          <w:b/>
          <w:shd w:val="clear" w:color="auto" w:fill="FFFFFF"/>
        </w:rPr>
        <w:t>απόχης από την αξιολόγηση</w:t>
      </w:r>
      <w:r w:rsidR="00352D8F" w:rsidRPr="00777586">
        <w:rPr>
          <w:rFonts w:ascii="Verdana" w:hAnsi="Verdana"/>
          <w:shd w:val="clear" w:color="auto" w:fill="FFFFFF"/>
        </w:rPr>
        <w:t xml:space="preserve"> σε επίπεδο ΕΛΜΕ μετά τις σχετικέ</w:t>
      </w:r>
      <w:r w:rsidR="00260730">
        <w:rPr>
          <w:rFonts w:ascii="Verdana" w:hAnsi="Verdana"/>
          <w:shd w:val="clear" w:color="auto" w:fill="FFFFFF"/>
        </w:rPr>
        <w:t>ς αποφάσεις σε επίπεδο ΑΔΕΔΥ</w:t>
      </w:r>
      <w:r w:rsidR="00352D8F" w:rsidRPr="00777586">
        <w:rPr>
          <w:rFonts w:ascii="Verdana" w:hAnsi="Verdana"/>
          <w:shd w:val="clear" w:color="auto" w:fill="FFFFFF"/>
        </w:rPr>
        <w:t>.</w:t>
      </w:r>
      <w:r w:rsidRPr="00777586">
        <w:rPr>
          <w:rFonts w:ascii="Verdana" w:hAnsi="Verdana"/>
          <w:shd w:val="clear" w:color="auto" w:fill="FFFFFF"/>
        </w:rPr>
        <w:t xml:space="preserve"> Οργανώνουμε με αποφάσεις σωματείων, συλλόγων διδασκόντων των αγώνα για την αποχή των συναδέλφων από κάθε μορφή αξιολόγησης</w:t>
      </w:r>
      <w:r>
        <w:rPr>
          <w:rFonts w:ascii="Verdana" w:hAnsi="Verdana"/>
          <w:shd w:val="clear" w:color="auto" w:fill="FFFFFF"/>
        </w:rPr>
        <w:t>.</w:t>
      </w:r>
    </w:p>
    <w:p w:rsidR="00777586" w:rsidRPr="00260730" w:rsidRDefault="00D22D61" w:rsidP="00260730">
      <w:pPr>
        <w:pStyle w:val="a6"/>
        <w:numPr>
          <w:ilvl w:val="0"/>
          <w:numId w:val="10"/>
        </w:numPr>
        <w:jc w:val="both"/>
        <w:rPr>
          <w:rFonts w:ascii="Verdana" w:hAnsi="Verdana"/>
          <w:shd w:val="clear" w:color="auto" w:fill="FFFFFF"/>
        </w:rPr>
      </w:pPr>
      <w:r w:rsidRPr="00777586">
        <w:rPr>
          <w:rFonts w:ascii="Verdana" w:hAnsi="Verdana"/>
          <w:shd w:val="clear" w:color="auto" w:fill="FFFFFF"/>
        </w:rPr>
        <w:t xml:space="preserve">Οργάνωση της πάλης για τη </w:t>
      </w:r>
      <w:r w:rsidRPr="00260730">
        <w:rPr>
          <w:rFonts w:ascii="Verdana" w:hAnsi="Verdana"/>
          <w:b/>
          <w:shd w:val="clear" w:color="auto" w:fill="FFFFFF"/>
        </w:rPr>
        <w:t>μονιμοποίηση όλων των συμβασιούχων εκπαιδευτικών</w:t>
      </w:r>
      <w:r w:rsidRPr="00777586">
        <w:rPr>
          <w:rFonts w:ascii="Verdana" w:hAnsi="Verdana"/>
          <w:shd w:val="clear" w:color="auto" w:fill="FFFFFF"/>
        </w:rPr>
        <w:t xml:space="preserve">! 25 χιλιάδες μόνιμοι διορισμοί για την κάλυψη των άμεσων αναγκών των σχολείων (με τα αριθμητικά δεδομένα και το νομικό πλαίσιο που ήδη ισχύει, διότι με επαναφορά ωραρίου και μείωση αριθμού μαθητών ανά τμήμα οι ανάγκες είναι περισσότερες)! Από τις 17 Σεπτέμβρη να πραγματοποιηθεί σύσκεψη της ΕΛΜΕ για τα θέματα των αναπληρωτών με προοπτική της πραγματοποίηση </w:t>
      </w:r>
      <w:r w:rsidR="00B874F8" w:rsidRPr="00777586">
        <w:rPr>
          <w:rFonts w:ascii="Verdana" w:hAnsi="Verdana"/>
          <w:shd w:val="clear" w:color="auto" w:fill="FFFFFF"/>
        </w:rPr>
        <w:t>Πανελλαδικής</w:t>
      </w:r>
      <w:r w:rsidRPr="00777586">
        <w:rPr>
          <w:rFonts w:ascii="Verdana" w:hAnsi="Verdana"/>
          <w:shd w:val="clear" w:color="auto" w:fill="FFFFFF"/>
        </w:rPr>
        <w:t xml:space="preserve"> μέρας δράσης για τους διορισμούς στις 28/9</w:t>
      </w:r>
      <w:r w:rsidR="00777586">
        <w:rPr>
          <w:rFonts w:ascii="Verdana" w:hAnsi="Verdana"/>
          <w:shd w:val="clear" w:color="auto" w:fill="FFFFFF"/>
        </w:rPr>
        <w:t>.</w:t>
      </w:r>
    </w:p>
    <w:p w:rsidR="00260730" w:rsidRPr="00260730" w:rsidRDefault="00777586" w:rsidP="00260730">
      <w:pPr>
        <w:pStyle w:val="a6"/>
        <w:numPr>
          <w:ilvl w:val="0"/>
          <w:numId w:val="10"/>
        </w:numPr>
        <w:jc w:val="both"/>
        <w:rPr>
          <w:rFonts w:ascii="Verdana" w:hAnsi="Verdana"/>
          <w:shd w:val="clear" w:color="auto" w:fill="FFFFFF"/>
        </w:rPr>
      </w:pPr>
      <w:r w:rsidRPr="00260730">
        <w:rPr>
          <w:rFonts w:ascii="Verdana" w:hAnsi="Verdana"/>
          <w:b/>
          <w:shd w:val="clear" w:color="auto" w:fill="FFFFFF"/>
        </w:rPr>
        <w:t xml:space="preserve">Επαναφορά του ωραρίου των </w:t>
      </w:r>
      <w:r w:rsidR="00260730" w:rsidRPr="00260730">
        <w:rPr>
          <w:rFonts w:ascii="Verdana" w:hAnsi="Verdana"/>
          <w:b/>
          <w:shd w:val="clear" w:color="auto" w:fill="FFFFFF"/>
        </w:rPr>
        <w:t>εκπαιδευτικών</w:t>
      </w:r>
      <w:r>
        <w:rPr>
          <w:rFonts w:ascii="Verdana" w:hAnsi="Verdana"/>
          <w:shd w:val="clear" w:color="auto" w:fill="FFFFFF"/>
        </w:rPr>
        <w:t xml:space="preserve"> στα προμνημονιακά επίπεδο και </w:t>
      </w:r>
      <w:r w:rsidRPr="00260730">
        <w:rPr>
          <w:rFonts w:ascii="Verdana" w:hAnsi="Verdana"/>
          <w:b/>
          <w:shd w:val="clear" w:color="auto" w:fill="FFFFFF"/>
        </w:rPr>
        <w:t>μείωση του μέγιστου αριθμού μαθητών ανά τμήμα</w:t>
      </w:r>
      <w:r w:rsidR="00260730">
        <w:rPr>
          <w:rFonts w:ascii="Verdana" w:hAnsi="Verdana"/>
          <w:shd w:val="clear" w:color="auto" w:fill="FFFFFF"/>
        </w:rPr>
        <w:t xml:space="preserve"> (20 γενικής, 15 κατεύθυνσης, 12</w:t>
      </w:r>
      <w:r>
        <w:rPr>
          <w:rFonts w:ascii="Verdana" w:hAnsi="Verdana"/>
          <w:shd w:val="clear" w:color="auto" w:fill="FFFFFF"/>
        </w:rPr>
        <w:t xml:space="preserve"> εργαστήρια</w:t>
      </w:r>
      <w:r w:rsidR="00260730">
        <w:rPr>
          <w:rFonts w:ascii="Verdana" w:hAnsi="Verdana"/>
          <w:shd w:val="clear" w:color="auto" w:fill="FFFFFF"/>
        </w:rPr>
        <w:t xml:space="preserve"> και ξενόγλωσσα</w:t>
      </w:r>
      <w:r>
        <w:rPr>
          <w:rFonts w:ascii="Verdana" w:hAnsi="Verdana"/>
          <w:shd w:val="clear" w:color="auto" w:fill="FFFFFF"/>
        </w:rPr>
        <w:t>).</w:t>
      </w:r>
    </w:p>
    <w:p w:rsidR="00D22D61" w:rsidRPr="00260730" w:rsidRDefault="00260730" w:rsidP="00260730">
      <w:pPr>
        <w:pStyle w:val="a6"/>
        <w:numPr>
          <w:ilvl w:val="0"/>
          <w:numId w:val="10"/>
        </w:numPr>
        <w:jc w:val="both"/>
        <w:rPr>
          <w:rFonts w:ascii="Verdana" w:hAnsi="Verdana"/>
          <w:shd w:val="clear" w:color="auto" w:fill="FFFFFF"/>
        </w:rPr>
      </w:pPr>
      <w:r>
        <w:rPr>
          <w:rFonts w:ascii="Verdana" w:hAnsi="Verdana"/>
          <w:shd w:val="clear" w:color="auto" w:fill="FFFFFF"/>
        </w:rPr>
        <w:t xml:space="preserve">Ανταπόκριση στο </w:t>
      </w:r>
      <w:r w:rsidRPr="00260730">
        <w:rPr>
          <w:rFonts w:ascii="Verdana" w:hAnsi="Verdana"/>
          <w:shd w:val="clear" w:color="auto" w:fill="FFFFFF"/>
        </w:rPr>
        <w:t>κάλεσμα του Εργατικού Κέντρο</w:t>
      </w:r>
      <w:r>
        <w:rPr>
          <w:rFonts w:ascii="Verdana" w:hAnsi="Verdana"/>
          <w:shd w:val="clear" w:color="auto" w:fill="FFFFFF"/>
        </w:rPr>
        <w:t>υ Λαυρίου-Ανατολικής Αττικής, για συνέχιση</w:t>
      </w:r>
      <w:r w:rsidRPr="00260730">
        <w:rPr>
          <w:rFonts w:ascii="Verdana" w:hAnsi="Verdana"/>
          <w:shd w:val="clear" w:color="auto" w:fill="FFFFFF"/>
        </w:rPr>
        <w:t xml:space="preserve"> της </w:t>
      </w:r>
      <w:r w:rsidRPr="00260730">
        <w:rPr>
          <w:rFonts w:ascii="Verdana" w:hAnsi="Verdana"/>
          <w:b/>
          <w:shd w:val="clear" w:color="auto" w:fill="FFFFFF"/>
        </w:rPr>
        <w:t>αλληλεγγύης προς τους πυρόπληκτους</w:t>
      </w:r>
      <w:r w:rsidRPr="00260730">
        <w:rPr>
          <w:rFonts w:ascii="Verdana" w:hAnsi="Verdana"/>
          <w:shd w:val="clear" w:color="auto" w:fill="FFFFFF"/>
        </w:rPr>
        <w:t>.</w:t>
      </w:r>
    </w:p>
    <w:p w:rsidR="00352D8F" w:rsidRPr="00260730" w:rsidRDefault="00D22D61" w:rsidP="00260730">
      <w:pPr>
        <w:pStyle w:val="a6"/>
        <w:numPr>
          <w:ilvl w:val="0"/>
          <w:numId w:val="10"/>
        </w:numPr>
        <w:jc w:val="both"/>
        <w:rPr>
          <w:rFonts w:ascii="Verdana" w:hAnsi="Verdana"/>
          <w:shd w:val="clear" w:color="auto" w:fill="FFFFFF"/>
        </w:rPr>
      </w:pPr>
      <w:r w:rsidRPr="00260730">
        <w:rPr>
          <w:rFonts w:ascii="Verdana" w:hAnsi="Verdana"/>
          <w:b/>
          <w:shd w:val="clear" w:color="auto" w:fill="FFFFFF"/>
        </w:rPr>
        <w:t>Πάλη ενάντια στον ιμπεριαλιστικό πόλεμο</w:t>
      </w:r>
      <w:r w:rsidRPr="00777586">
        <w:rPr>
          <w:rFonts w:ascii="Verdana" w:hAnsi="Verdana"/>
          <w:shd w:val="clear" w:color="auto" w:fill="FFFFFF"/>
        </w:rPr>
        <w:t xml:space="preserve"> και την εμπλοκή της χώρας μας. Ενάντια σε ΝΑΤΟ – ΗΠΑ – Ε.Ε. Αλληλεγγύη στους πρόσφυγες και μετανάστες.</w:t>
      </w:r>
    </w:p>
    <w:sectPr w:rsidR="00352D8F" w:rsidRPr="00260730" w:rsidSect="00260730">
      <w:footerReference w:type="even" r:id="rId8"/>
      <w:footerReference w:type="default" r:id="rId9"/>
      <w:pgSz w:w="11906" w:h="16838"/>
      <w:pgMar w:top="426" w:right="707"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615" w:rsidRDefault="00623615">
      <w:r>
        <w:separator/>
      </w:r>
    </w:p>
  </w:endnote>
  <w:endnote w:type="continuationSeparator" w:id="1">
    <w:p w:rsidR="00623615" w:rsidRDefault="0062361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2A" w:rsidRDefault="00097F04" w:rsidP="004B6864">
    <w:pPr>
      <w:pStyle w:val="a3"/>
      <w:framePr w:wrap="around" w:vAnchor="text" w:hAnchor="margin" w:xAlign="right" w:y="1"/>
      <w:rPr>
        <w:rStyle w:val="a4"/>
      </w:rPr>
    </w:pPr>
    <w:r>
      <w:rPr>
        <w:rStyle w:val="a4"/>
      </w:rPr>
      <w:fldChar w:fldCharType="begin"/>
    </w:r>
    <w:r w:rsidR="0080282A">
      <w:rPr>
        <w:rStyle w:val="a4"/>
      </w:rPr>
      <w:instrText xml:space="preserve">PAGE  </w:instrText>
    </w:r>
    <w:r>
      <w:rPr>
        <w:rStyle w:val="a4"/>
      </w:rPr>
      <w:fldChar w:fldCharType="end"/>
    </w:r>
  </w:p>
  <w:p w:rsidR="0080282A" w:rsidRDefault="0080282A" w:rsidP="0036720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2A" w:rsidRDefault="0080282A" w:rsidP="004B6864">
    <w:pPr>
      <w:pStyle w:val="a3"/>
      <w:framePr w:wrap="around" w:vAnchor="text" w:hAnchor="margin" w:xAlign="right" w:y="1"/>
      <w:rPr>
        <w:rStyle w:val="a4"/>
      </w:rPr>
    </w:pPr>
  </w:p>
  <w:p w:rsidR="0080282A" w:rsidRDefault="0080282A" w:rsidP="008A096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615" w:rsidRDefault="00623615">
      <w:r>
        <w:separator/>
      </w:r>
    </w:p>
  </w:footnote>
  <w:footnote w:type="continuationSeparator" w:id="1">
    <w:p w:rsidR="00623615" w:rsidRDefault="00623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3A83"/>
    <w:multiLevelType w:val="hybridMultilevel"/>
    <w:tmpl w:val="9D7887AE"/>
    <w:lvl w:ilvl="0" w:tplc="D4B0EC7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BD5A66"/>
    <w:multiLevelType w:val="hybridMultilevel"/>
    <w:tmpl w:val="254409BE"/>
    <w:lvl w:ilvl="0" w:tplc="09764C2A">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01146F"/>
    <w:multiLevelType w:val="multilevel"/>
    <w:tmpl w:val="020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1C407E"/>
    <w:multiLevelType w:val="hybridMultilevel"/>
    <w:tmpl w:val="BF4E98C4"/>
    <w:lvl w:ilvl="0" w:tplc="1A2C605C">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AE74274"/>
    <w:multiLevelType w:val="hybridMultilevel"/>
    <w:tmpl w:val="F8E872A4"/>
    <w:lvl w:ilvl="0" w:tplc="7CB46D1A">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EE1BB5"/>
    <w:multiLevelType w:val="hybridMultilevel"/>
    <w:tmpl w:val="45A66FFE"/>
    <w:lvl w:ilvl="0" w:tplc="1A2C605C">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380717D"/>
    <w:multiLevelType w:val="hybridMultilevel"/>
    <w:tmpl w:val="288C01C8"/>
    <w:lvl w:ilvl="0" w:tplc="7CB46D1A">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C990826"/>
    <w:multiLevelType w:val="hybridMultilevel"/>
    <w:tmpl w:val="4822BE2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61A713C5"/>
    <w:multiLevelType w:val="hybridMultilevel"/>
    <w:tmpl w:val="576C1CDA"/>
    <w:lvl w:ilvl="0" w:tplc="EEBE73B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9587ADB"/>
    <w:multiLevelType w:val="hybridMultilevel"/>
    <w:tmpl w:val="D11CDE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6"/>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1ED9"/>
    <w:rsid w:val="00097F04"/>
    <w:rsid w:val="000A6E46"/>
    <w:rsid w:val="000B11BB"/>
    <w:rsid w:val="000D4970"/>
    <w:rsid w:val="0010248D"/>
    <w:rsid w:val="00112C49"/>
    <w:rsid w:val="00173164"/>
    <w:rsid w:val="00193478"/>
    <w:rsid w:val="0019377B"/>
    <w:rsid w:val="001B7279"/>
    <w:rsid w:val="001C5D6D"/>
    <w:rsid w:val="00203DE3"/>
    <w:rsid w:val="002118F9"/>
    <w:rsid w:val="0025180C"/>
    <w:rsid w:val="00260730"/>
    <w:rsid w:val="002B7AC8"/>
    <w:rsid w:val="002E5058"/>
    <w:rsid w:val="003250E2"/>
    <w:rsid w:val="00332917"/>
    <w:rsid w:val="0033756B"/>
    <w:rsid w:val="0035048D"/>
    <w:rsid w:val="003512EE"/>
    <w:rsid w:val="00352D8F"/>
    <w:rsid w:val="00367208"/>
    <w:rsid w:val="00394B1E"/>
    <w:rsid w:val="003D6AF5"/>
    <w:rsid w:val="003F46B3"/>
    <w:rsid w:val="003F6E99"/>
    <w:rsid w:val="00422F9E"/>
    <w:rsid w:val="00475118"/>
    <w:rsid w:val="004B6864"/>
    <w:rsid w:val="004F47A6"/>
    <w:rsid w:val="00573D1B"/>
    <w:rsid w:val="005760F0"/>
    <w:rsid w:val="005E1C32"/>
    <w:rsid w:val="00623615"/>
    <w:rsid w:val="006670D7"/>
    <w:rsid w:val="00683A6E"/>
    <w:rsid w:val="00685D31"/>
    <w:rsid w:val="006B77F6"/>
    <w:rsid w:val="006C7974"/>
    <w:rsid w:val="006D495D"/>
    <w:rsid w:val="006F70E6"/>
    <w:rsid w:val="007169DC"/>
    <w:rsid w:val="00722F08"/>
    <w:rsid w:val="00746314"/>
    <w:rsid w:val="00777586"/>
    <w:rsid w:val="007B591A"/>
    <w:rsid w:val="007E1416"/>
    <w:rsid w:val="007F27DC"/>
    <w:rsid w:val="0080282A"/>
    <w:rsid w:val="00812B78"/>
    <w:rsid w:val="0083741C"/>
    <w:rsid w:val="00853380"/>
    <w:rsid w:val="008732C0"/>
    <w:rsid w:val="008A0969"/>
    <w:rsid w:val="008C1E4F"/>
    <w:rsid w:val="008C2690"/>
    <w:rsid w:val="008C3F6E"/>
    <w:rsid w:val="008C5DBD"/>
    <w:rsid w:val="008F59F7"/>
    <w:rsid w:val="00901DC7"/>
    <w:rsid w:val="00920FA0"/>
    <w:rsid w:val="009250E9"/>
    <w:rsid w:val="009428B9"/>
    <w:rsid w:val="00942F88"/>
    <w:rsid w:val="00975FBA"/>
    <w:rsid w:val="009928E6"/>
    <w:rsid w:val="009B1924"/>
    <w:rsid w:val="009C6A77"/>
    <w:rsid w:val="00A16551"/>
    <w:rsid w:val="00A16A4D"/>
    <w:rsid w:val="00A2676C"/>
    <w:rsid w:val="00A71ED9"/>
    <w:rsid w:val="00AD459B"/>
    <w:rsid w:val="00AE11CC"/>
    <w:rsid w:val="00AF63F7"/>
    <w:rsid w:val="00B1497D"/>
    <w:rsid w:val="00B50BBB"/>
    <w:rsid w:val="00B614C4"/>
    <w:rsid w:val="00B646EE"/>
    <w:rsid w:val="00B874F8"/>
    <w:rsid w:val="00BA6DBB"/>
    <w:rsid w:val="00C4611C"/>
    <w:rsid w:val="00C6269C"/>
    <w:rsid w:val="00CB0EE9"/>
    <w:rsid w:val="00CD1013"/>
    <w:rsid w:val="00D17FBC"/>
    <w:rsid w:val="00D22D61"/>
    <w:rsid w:val="00D77934"/>
    <w:rsid w:val="00DB1C1B"/>
    <w:rsid w:val="00DC09C2"/>
    <w:rsid w:val="00DD5E55"/>
    <w:rsid w:val="00E01D11"/>
    <w:rsid w:val="00E036E6"/>
    <w:rsid w:val="00E41D4F"/>
    <w:rsid w:val="00E47257"/>
    <w:rsid w:val="00E51EC6"/>
    <w:rsid w:val="00EB7379"/>
    <w:rsid w:val="00ED361E"/>
    <w:rsid w:val="00EE21EA"/>
    <w:rsid w:val="00EE2533"/>
    <w:rsid w:val="00EE662E"/>
    <w:rsid w:val="00FF08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D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67208"/>
    <w:rPr>
      <w:color w:val="0000FF"/>
      <w:u w:val="single"/>
    </w:rPr>
  </w:style>
  <w:style w:type="paragraph" w:styleId="a3">
    <w:name w:val="footer"/>
    <w:basedOn w:val="a"/>
    <w:rsid w:val="00367208"/>
    <w:pPr>
      <w:tabs>
        <w:tab w:val="center" w:pos="4153"/>
        <w:tab w:val="right" w:pos="8306"/>
      </w:tabs>
    </w:pPr>
  </w:style>
  <w:style w:type="character" w:styleId="a4">
    <w:name w:val="page number"/>
    <w:basedOn w:val="a0"/>
    <w:rsid w:val="00367208"/>
  </w:style>
  <w:style w:type="paragraph" w:styleId="Web">
    <w:name w:val="Normal (Web)"/>
    <w:basedOn w:val="a"/>
    <w:uiPriority w:val="99"/>
    <w:unhideWhenUsed/>
    <w:rsid w:val="003F46B3"/>
    <w:pPr>
      <w:spacing w:before="100" w:beforeAutospacing="1" w:after="100" w:afterAutospacing="1"/>
    </w:pPr>
  </w:style>
  <w:style w:type="paragraph" w:styleId="a5">
    <w:name w:val="header"/>
    <w:basedOn w:val="a"/>
    <w:link w:val="Char"/>
    <w:uiPriority w:val="99"/>
    <w:semiHidden/>
    <w:unhideWhenUsed/>
    <w:rsid w:val="008A0969"/>
    <w:pPr>
      <w:tabs>
        <w:tab w:val="center" w:pos="4153"/>
        <w:tab w:val="right" w:pos="8306"/>
      </w:tabs>
    </w:pPr>
  </w:style>
  <w:style w:type="character" w:customStyle="1" w:styleId="Char">
    <w:name w:val="Κεφαλίδα Char"/>
    <w:basedOn w:val="a0"/>
    <w:link w:val="a5"/>
    <w:uiPriority w:val="99"/>
    <w:semiHidden/>
    <w:rsid w:val="008A0969"/>
    <w:rPr>
      <w:rFonts w:ascii="Times New Roman" w:eastAsia="Times New Roman" w:hAnsi="Times New Roman"/>
      <w:sz w:val="24"/>
      <w:szCs w:val="24"/>
    </w:rPr>
  </w:style>
  <w:style w:type="paragraph" w:styleId="a6">
    <w:name w:val="List Paragraph"/>
    <w:basedOn w:val="a"/>
    <w:uiPriority w:val="34"/>
    <w:qFormat/>
    <w:rsid w:val="008C3F6E"/>
    <w:pPr>
      <w:spacing w:after="200" w:line="276" w:lineRule="auto"/>
      <w:ind w:left="720"/>
      <w:contextualSpacing/>
    </w:pPr>
    <w:rPr>
      <w:rFonts w:ascii="Calibri" w:eastAsia="Calibri" w:hAnsi="Calibri"/>
      <w:sz w:val="22"/>
      <w:szCs w:val="22"/>
      <w:lang w:eastAsia="en-US"/>
    </w:rPr>
  </w:style>
  <w:style w:type="character" w:styleId="a7">
    <w:name w:val="Strong"/>
    <w:basedOn w:val="a0"/>
    <w:uiPriority w:val="22"/>
    <w:qFormat/>
    <w:rsid w:val="00394B1E"/>
    <w:rPr>
      <w:b/>
      <w:bCs/>
    </w:rPr>
  </w:style>
</w:styles>
</file>

<file path=word/webSettings.xml><?xml version="1.0" encoding="utf-8"?>
<w:webSettings xmlns:r="http://schemas.openxmlformats.org/officeDocument/2006/relationships" xmlns:w="http://schemas.openxmlformats.org/wordprocessingml/2006/main">
  <w:divs>
    <w:div w:id="433790029">
      <w:bodyDiv w:val="1"/>
      <w:marLeft w:val="0"/>
      <w:marRight w:val="0"/>
      <w:marTop w:val="0"/>
      <w:marBottom w:val="0"/>
      <w:divBdr>
        <w:top w:val="none" w:sz="0" w:space="0" w:color="auto"/>
        <w:left w:val="none" w:sz="0" w:space="0" w:color="auto"/>
        <w:bottom w:val="none" w:sz="0" w:space="0" w:color="auto"/>
        <w:right w:val="none" w:sz="0" w:space="0" w:color="auto"/>
      </w:divBdr>
      <w:divsChild>
        <w:div w:id="1365978846">
          <w:marLeft w:val="0"/>
          <w:marRight w:val="0"/>
          <w:marTop w:val="0"/>
          <w:marBottom w:val="0"/>
          <w:divBdr>
            <w:top w:val="none" w:sz="0" w:space="0" w:color="auto"/>
            <w:left w:val="none" w:sz="0" w:space="0" w:color="auto"/>
            <w:bottom w:val="none" w:sz="0" w:space="0" w:color="auto"/>
            <w:right w:val="none" w:sz="0" w:space="0" w:color="auto"/>
          </w:divBdr>
        </w:div>
      </w:divsChild>
    </w:div>
    <w:div w:id="523204728">
      <w:bodyDiv w:val="1"/>
      <w:marLeft w:val="0"/>
      <w:marRight w:val="0"/>
      <w:marTop w:val="0"/>
      <w:marBottom w:val="0"/>
      <w:divBdr>
        <w:top w:val="none" w:sz="0" w:space="0" w:color="auto"/>
        <w:left w:val="none" w:sz="0" w:space="0" w:color="auto"/>
        <w:bottom w:val="none" w:sz="0" w:space="0" w:color="auto"/>
        <w:right w:val="none" w:sz="0" w:space="0" w:color="auto"/>
      </w:divBdr>
    </w:div>
    <w:div w:id="554198392">
      <w:bodyDiv w:val="1"/>
      <w:marLeft w:val="0"/>
      <w:marRight w:val="0"/>
      <w:marTop w:val="0"/>
      <w:marBottom w:val="0"/>
      <w:divBdr>
        <w:top w:val="none" w:sz="0" w:space="0" w:color="auto"/>
        <w:left w:val="none" w:sz="0" w:space="0" w:color="auto"/>
        <w:bottom w:val="none" w:sz="0" w:space="0" w:color="auto"/>
        <w:right w:val="none" w:sz="0" w:space="0" w:color="auto"/>
      </w:divBdr>
      <w:divsChild>
        <w:div w:id="2001276246">
          <w:marLeft w:val="0"/>
          <w:marRight w:val="0"/>
          <w:marTop w:val="0"/>
          <w:marBottom w:val="0"/>
          <w:divBdr>
            <w:top w:val="none" w:sz="0" w:space="0" w:color="auto"/>
            <w:left w:val="none" w:sz="0" w:space="0" w:color="auto"/>
            <w:bottom w:val="none" w:sz="0" w:space="0" w:color="auto"/>
            <w:right w:val="none" w:sz="0" w:space="0" w:color="auto"/>
          </w:divBdr>
        </w:div>
        <w:div w:id="403720118">
          <w:marLeft w:val="0"/>
          <w:marRight w:val="0"/>
          <w:marTop w:val="0"/>
          <w:marBottom w:val="0"/>
          <w:divBdr>
            <w:top w:val="none" w:sz="0" w:space="0" w:color="auto"/>
            <w:left w:val="none" w:sz="0" w:space="0" w:color="auto"/>
            <w:bottom w:val="none" w:sz="0" w:space="0" w:color="auto"/>
            <w:right w:val="none" w:sz="0" w:space="0" w:color="auto"/>
          </w:divBdr>
        </w:div>
        <w:div w:id="919488480">
          <w:marLeft w:val="0"/>
          <w:marRight w:val="0"/>
          <w:marTop w:val="0"/>
          <w:marBottom w:val="0"/>
          <w:divBdr>
            <w:top w:val="none" w:sz="0" w:space="0" w:color="auto"/>
            <w:left w:val="none" w:sz="0" w:space="0" w:color="auto"/>
            <w:bottom w:val="none" w:sz="0" w:space="0" w:color="auto"/>
            <w:right w:val="none" w:sz="0" w:space="0" w:color="auto"/>
          </w:divBdr>
        </w:div>
        <w:div w:id="61145718">
          <w:marLeft w:val="0"/>
          <w:marRight w:val="0"/>
          <w:marTop w:val="0"/>
          <w:marBottom w:val="0"/>
          <w:divBdr>
            <w:top w:val="none" w:sz="0" w:space="0" w:color="auto"/>
            <w:left w:val="none" w:sz="0" w:space="0" w:color="auto"/>
            <w:bottom w:val="none" w:sz="0" w:space="0" w:color="auto"/>
            <w:right w:val="none" w:sz="0" w:space="0" w:color="auto"/>
          </w:divBdr>
        </w:div>
        <w:div w:id="1691027797">
          <w:marLeft w:val="0"/>
          <w:marRight w:val="0"/>
          <w:marTop w:val="0"/>
          <w:marBottom w:val="0"/>
          <w:divBdr>
            <w:top w:val="none" w:sz="0" w:space="0" w:color="auto"/>
            <w:left w:val="none" w:sz="0" w:space="0" w:color="auto"/>
            <w:bottom w:val="none" w:sz="0" w:space="0" w:color="auto"/>
            <w:right w:val="none" w:sz="0" w:space="0" w:color="auto"/>
          </w:divBdr>
        </w:div>
        <w:div w:id="163518644">
          <w:marLeft w:val="0"/>
          <w:marRight w:val="0"/>
          <w:marTop w:val="0"/>
          <w:marBottom w:val="0"/>
          <w:divBdr>
            <w:top w:val="none" w:sz="0" w:space="0" w:color="auto"/>
            <w:left w:val="none" w:sz="0" w:space="0" w:color="auto"/>
            <w:bottom w:val="none" w:sz="0" w:space="0" w:color="auto"/>
            <w:right w:val="none" w:sz="0" w:space="0" w:color="auto"/>
          </w:divBdr>
        </w:div>
        <w:div w:id="937635740">
          <w:marLeft w:val="0"/>
          <w:marRight w:val="0"/>
          <w:marTop w:val="0"/>
          <w:marBottom w:val="0"/>
          <w:divBdr>
            <w:top w:val="none" w:sz="0" w:space="0" w:color="auto"/>
            <w:left w:val="none" w:sz="0" w:space="0" w:color="auto"/>
            <w:bottom w:val="none" w:sz="0" w:space="0" w:color="auto"/>
            <w:right w:val="none" w:sz="0" w:space="0" w:color="auto"/>
          </w:divBdr>
        </w:div>
        <w:div w:id="392580211">
          <w:marLeft w:val="0"/>
          <w:marRight w:val="0"/>
          <w:marTop w:val="0"/>
          <w:marBottom w:val="0"/>
          <w:divBdr>
            <w:top w:val="none" w:sz="0" w:space="0" w:color="auto"/>
            <w:left w:val="none" w:sz="0" w:space="0" w:color="auto"/>
            <w:bottom w:val="none" w:sz="0" w:space="0" w:color="auto"/>
            <w:right w:val="none" w:sz="0" w:space="0" w:color="auto"/>
          </w:divBdr>
        </w:div>
        <w:div w:id="1734620983">
          <w:marLeft w:val="0"/>
          <w:marRight w:val="0"/>
          <w:marTop w:val="0"/>
          <w:marBottom w:val="0"/>
          <w:divBdr>
            <w:top w:val="none" w:sz="0" w:space="0" w:color="auto"/>
            <w:left w:val="none" w:sz="0" w:space="0" w:color="auto"/>
            <w:bottom w:val="none" w:sz="0" w:space="0" w:color="auto"/>
            <w:right w:val="none" w:sz="0" w:space="0" w:color="auto"/>
          </w:divBdr>
        </w:div>
        <w:div w:id="1297179074">
          <w:marLeft w:val="0"/>
          <w:marRight w:val="0"/>
          <w:marTop w:val="0"/>
          <w:marBottom w:val="0"/>
          <w:divBdr>
            <w:top w:val="none" w:sz="0" w:space="0" w:color="auto"/>
            <w:left w:val="none" w:sz="0" w:space="0" w:color="auto"/>
            <w:bottom w:val="none" w:sz="0" w:space="0" w:color="auto"/>
            <w:right w:val="none" w:sz="0" w:space="0" w:color="auto"/>
          </w:divBdr>
        </w:div>
        <w:div w:id="1994066258">
          <w:marLeft w:val="0"/>
          <w:marRight w:val="0"/>
          <w:marTop w:val="0"/>
          <w:marBottom w:val="0"/>
          <w:divBdr>
            <w:top w:val="none" w:sz="0" w:space="0" w:color="auto"/>
            <w:left w:val="none" w:sz="0" w:space="0" w:color="auto"/>
            <w:bottom w:val="none" w:sz="0" w:space="0" w:color="auto"/>
            <w:right w:val="none" w:sz="0" w:space="0" w:color="auto"/>
          </w:divBdr>
        </w:div>
        <w:div w:id="653802971">
          <w:marLeft w:val="0"/>
          <w:marRight w:val="0"/>
          <w:marTop w:val="0"/>
          <w:marBottom w:val="0"/>
          <w:divBdr>
            <w:top w:val="none" w:sz="0" w:space="0" w:color="auto"/>
            <w:left w:val="none" w:sz="0" w:space="0" w:color="auto"/>
            <w:bottom w:val="none" w:sz="0" w:space="0" w:color="auto"/>
            <w:right w:val="none" w:sz="0" w:space="0" w:color="auto"/>
          </w:divBdr>
        </w:div>
      </w:divsChild>
    </w:div>
    <w:div w:id="584728333">
      <w:bodyDiv w:val="1"/>
      <w:marLeft w:val="0"/>
      <w:marRight w:val="0"/>
      <w:marTop w:val="0"/>
      <w:marBottom w:val="0"/>
      <w:divBdr>
        <w:top w:val="none" w:sz="0" w:space="0" w:color="auto"/>
        <w:left w:val="none" w:sz="0" w:space="0" w:color="auto"/>
        <w:bottom w:val="none" w:sz="0" w:space="0" w:color="auto"/>
        <w:right w:val="none" w:sz="0" w:space="0" w:color="auto"/>
      </w:divBdr>
    </w:div>
    <w:div w:id="1408767944">
      <w:bodyDiv w:val="1"/>
      <w:marLeft w:val="0"/>
      <w:marRight w:val="0"/>
      <w:marTop w:val="0"/>
      <w:marBottom w:val="0"/>
      <w:divBdr>
        <w:top w:val="none" w:sz="0" w:space="0" w:color="auto"/>
        <w:left w:val="none" w:sz="0" w:space="0" w:color="auto"/>
        <w:bottom w:val="none" w:sz="0" w:space="0" w:color="auto"/>
        <w:right w:val="none" w:sz="0" w:space="0" w:color="auto"/>
      </w:divBdr>
    </w:div>
    <w:div w:id="1478380426">
      <w:bodyDiv w:val="1"/>
      <w:marLeft w:val="0"/>
      <w:marRight w:val="0"/>
      <w:marTop w:val="0"/>
      <w:marBottom w:val="0"/>
      <w:divBdr>
        <w:top w:val="none" w:sz="0" w:space="0" w:color="auto"/>
        <w:left w:val="none" w:sz="0" w:space="0" w:color="auto"/>
        <w:bottom w:val="none" w:sz="0" w:space="0" w:color="auto"/>
        <w:right w:val="none" w:sz="0" w:space="0" w:color="auto"/>
      </w:divBdr>
    </w:div>
    <w:div w:id="1895121544">
      <w:bodyDiv w:val="1"/>
      <w:marLeft w:val="0"/>
      <w:marRight w:val="0"/>
      <w:marTop w:val="0"/>
      <w:marBottom w:val="0"/>
      <w:divBdr>
        <w:top w:val="none" w:sz="0" w:space="0" w:color="auto"/>
        <w:left w:val="none" w:sz="0" w:space="0" w:color="auto"/>
        <w:bottom w:val="none" w:sz="0" w:space="0" w:color="auto"/>
        <w:right w:val="none" w:sz="0" w:space="0" w:color="auto"/>
      </w:divBdr>
    </w:div>
    <w:div w:id="20264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398</Words>
  <Characters>2151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Αντώνης</dc:creator>
  <cp:lastModifiedBy>Χρήστης των Windows</cp:lastModifiedBy>
  <cp:revision>3</cp:revision>
  <cp:lastPrinted>2015-03-19T10:52:00Z</cp:lastPrinted>
  <dcterms:created xsi:type="dcterms:W3CDTF">2018-09-11T09:47:00Z</dcterms:created>
  <dcterms:modified xsi:type="dcterms:W3CDTF">2018-09-11T10:09:00Z</dcterms:modified>
</cp:coreProperties>
</file>